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76364" w14:textId="77777777" w:rsidR="00ED06F5" w:rsidRDefault="002B5FE9">
      <w:pPr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E80EED6" wp14:editId="235751B3">
            <wp:simplePos x="0" y="0"/>
            <wp:positionH relativeFrom="column">
              <wp:posOffset>1784350</wp:posOffset>
            </wp:positionH>
            <wp:positionV relativeFrom="paragraph">
              <wp:posOffset>0</wp:posOffset>
            </wp:positionV>
            <wp:extent cx="1548765" cy="791210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8765" cy="7912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63CAE26" w14:textId="77777777" w:rsidR="00ED06F5" w:rsidRDefault="002B5FE9">
      <w:pPr>
        <w:tabs>
          <w:tab w:val="left" w:pos="3119"/>
        </w:tabs>
        <w:ind w:left="3119"/>
        <w:rPr>
          <w:b/>
        </w:rPr>
      </w:pPr>
      <w:r>
        <w:rPr>
          <w:b/>
        </w:rPr>
        <w:t xml:space="preserve">          </w:t>
      </w:r>
    </w:p>
    <w:p w14:paraId="50F1B1D6" w14:textId="77777777" w:rsidR="00ED06F5" w:rsidRDefault="00ED06F5"/>
    <w:p w14:paraId="63403AE7" w14:textId="77777777" w:rsidR="00ED06F5" w:rsidRDefault="00ED06F5">
      <w:pPr>
        <w:spacing w:line="259" w:lineRule="auto"/>
        <w:ind w:left="10" w:right="479" w:hanging="10"/>
        <w:jc w:val="center"/>
        <w:rPr>
          <w:b/>
          <w:sz w:val="28"/>
          <w:szCs w:val="28"/>
        </w:rPr>
      </w:pPr>
    </w:p>
    <w:p w14:paraId="322099CB" w14:textId="77777777" w:rsidR="00ED06F5" w:rsidRDefault="002B5FE9">
      <w:pPr>
        <w:spacing w:line="259" w:lineRule="auto"/>
        <w:ind w:left="10" w:right="479" w:hanging="1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Financial Reporting and Business Communication (FRBC) 2021</w:t>
      </w:r>
    </w:p>
    <w:p w14:paraId="27B8CD79" w14:textId="77777777" w:rsidR="00ED06F5" w:rsidRDefault="002B5FE9">
      <w:pPr>
        <w:spacing w:line="259" w:lineRule="auto"/>
        <w:ind w:left="10" w:right="479" w:hanging="1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Virtual Event</w:t>
      </w:r>
    </w:p>
    <w:p w14:paraId="77AF74CB" w14:textId="6141F469" w:rsidR="00ED06F5" w:rsidRDefault="002B5FE9">
      <w:pPr>
        <w:spacing w:line="259" w:lineRule="auto"/>
        <w:ind w:left="10" w:right="479" w:hanging="1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Thursday 1 July 2021</w:t>
      </w:r>
      <w:r>
        <w:rPr>
          <w:b/>
          <w:color w:val="000000"/>
          <w:sz w:val="26"/>
          <w:szCs w:val="26"/>
          <w:highlight w:val="white"/>
        </w:rPr>
        <w:t xml:space="preserve"> </w:t>
      </w:r>
      <w:r>
        <w:rPr>
          <w:b/>
          <w:sz w:val="26"/>
          <w:szCs w:val="26"/>
        </w:rPr>
        <w:t>between 2.15 and 5.45pm </w:t>
      </w:r>
      <w:r w:rsidR="004629CC">
        <w:rPr>
          <w:b/>
          <w:sz w:val="26"/>
          <w:szCs w:val="26"/>
        </w:rPr>
        <w:t>BST</w:t>
      </w:r>
    </w:p>
    <w:p w14:paraId="212087C9" w14:textId="77777777" w:rsidR="00ED06F5" w:rsidRDefault="00ED06F5">
      <w:pPr>
        <w:spacing w:line="259" w:lineRule="auto"/>
        <w:ind w:left="10" w:right="479" w:hanging="10"/>
        <w:jc w:val="center"/>
        <w:rPr>
          <w:b/>
          <w:sz w:val="28"/>
          <w:szCs w:val="28"/>
        </w:rPr>
      </w:pPr>
    </w:p>
    <w:p w14:paraId="7805DD31" w14:textId="77777777" w:rsidR="00ED06F5" w:rsidRDefault="002B5FE9">
      <w:pPr>
        <w:spacing w:line="259" w:lineRule="auto"/>
        <w:ind w:left="10" w:right="479" w:hanging="10"/>
        <w:jc w:val="both"/>
        <w:rPr>
          <w:sz w:val="22"/>
          <w:szCs w:val="22"/>
        </w:rPr>
      </w:pPr>
      <w:r>
        <w:rPr>
          <w:sz w:val="22"/>
          <w:szCs w:val="22"/>
        </w:rPr>
        <w:t>The Financial Accounting and Reporting Special Interest Group is pleased to announce the Financial Reporting and Business Communication (FRBC) 2021 event. This will be held virtually on Thursday 1</w:t>
      </w:r>
      <w:r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July 2021.</w:t>
      </w:r>
    </w:p>
    <w:p w14:paraId="1403A354" w14:textId="77777777" w:rsidR="00ED06F5" w:rsidRDefault="00ED06F5">
      <w:pPr>
        <w:spacing w:line="259" w:lineRule="auto"/>
        <w:ind w:left="10" w:right="479" w:hanging="10"/>
        <w:jc w:val="both"/>
        <w:rPr>
          <w:sz w:val="22"/>
          <w:szCs w:val="22"/>
        </w:rPr>
      </w:pPr>
    </w:p>
    <w:p w14:paraId="6A9D912C" w14:textId="77777777" w:rsidR="00ED06F5" w:rsidRDefault="002B5FE9">
      <w:pPr>
        <w:spacing w:line="259" w:lineRule="auto"/>
        <w:ind w:left="10" w:right="479" w:hanging="10"/>
        <w:jc w:val="both"/>
      </w:pPr>
      <w:r>
        <w:rPr>
          <w:sz w:val="22"/>
          <w:szCs w:val="22"/>
        </w:rPr>
        <w:t>The virtual FRBC event will comprise three ke</w:t>
      </w:r>
      <w:r>
        <w:rPr>
          <w:sz w:val="22"/>
          <w:szCs w:val="22"/>
        </w:rPr>
        <w:t>ynote presentations and a poster session by successful applicants of the FARSIG doctoral bursary</w:t>
      </w:r>
      <w:r>
        <w:t>.</w:t>
      </w:r>
    </w:p>
    <w:p w14:paraId="39D74603" w14:textId="77777777" w:rsidR="00ED06F5" w:rsidRDefault="00ED06F5">
      <w:pPr>
        <w:spacing w:line="259" w:lineRule="auto"/>
        <w:ind w:left="10" w:right="479" w:hanging="10"/>
        <w:rPr>
          <w:b/>
        </w:rPr>
      </w:pPr>
    </w:p>
    <w:p w14:paraId="12A5B2B1" w14:textId="77777777" w:rsidR="00ED06F5" w:rsidRDefault="002B5FE9">
      <w:pPr>
        <w:spacing w:line="259" w:lineRule="auto"/>
        <w:ind w:left="10" w:right="479" w:hanging="10"/>
        <w:rPr>
          <w:b/>
        </w:rPr>
      </w:pPr>
      <w:r>
        <w:rPr>
          <w:b/>
        </w:rPr>
        <w:t>Schedule of the FRBC event</w:t>
      </w:r>
    </w:p>
    <w:tbl>
      <w:tblPr>
        <w:tblStyle w:val="a"/>
        <w:tblW w:w="8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3598"/>
        <w:gridCol w:w="3721"/>
      </w:tblGrid>
      <w:tr w:rsidR="00ED06F5" w14:paraId="242A75AD" w14:textId="77777777">
        <w:trPr>
          <w:trHeight w:val="562"/>
        </w:trPr>
        <w:tc>
          <w:tcPr>
            <w:tcW w:w="1242" w:type="dxa"/>
            <w:vAlign w:val="center"/>
          </w:tcPr>
          <w:p w14:paraId="79C4DC5B" w14:textId="77777777" w:rsidR="00ED06F5" w:rsidRDefault="002B5F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2.15 - 2.30</w:t>
            </w:r>
          </w:p>
        </w:tc>
        <w:tc>
          <w:tcPr>
            <w:tcW w:w="7319" w:type="dxa"/>
            <w:gridSpan w:val="2"/>
            <w:vAlign w:val="center"/>
          </w:tcPr>
          <w:p w14:paraId="104687C5" w14:textId="77777777" w:rsidR="00ED06F5" w:rsidRDefault="00ED06F5">
            <w:pPr>
              <w:jc w:val="center"/>
              <w:rPr>
                <w:sz w:val="22"/>
                <w:szCs w:val="22"/>
              </w:rPr>
            </w:pPr>
          </w:p>
          <w:p w14:paraId="7CD35C04" w14:textId="77777777" w:rsidR="00ED06F5" w:rsidRDefault="002B5F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Welcome by organisers</w:t>
            </w:r>
          </w:p>
          <w:p w14:paraId="537E0248" w14:textId="77777777" w:rsidR="00ED06F5" w:rsidRDefault="00ED06F5">
            <w:pPr>
              <w:rPr>
                <w:sz w:val="22"/>
                <w:szCs w:val="22"/>
              </w:rPr>
            </w:pPr>
          </w:p>
        </w:tc>
      </w:tr>
      <w:tr w:rsidR="00ED06F5" w14:paraId="62450819" w14:textId="77777777">
        <w:trPr>
          <w:trHeight w:val="932"/>
        </w:trPr>
        <w:tc>
          <w:tcPr>
            <w:tcW w:w="1242" w:type="dxa"/>
            <w:vAlign w:val="center"/>
          </w:tcPr>
          <w:p w14:paraId="0BF12872" w14:textId="77777777" w:rsidR="00ED06F5" w:rsidRDefault="002B5F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2.30 - 3.10</w:t>
            </w:r>
          </w:p>
        </w:tc>
        <w:tc>
          <w:tcPr>
            <w:tcW w:w="3598" w:type="dxa"/>
            <w:vAlign w:val="center"/>
          </w:tcPr>
          <w:p w14:paraId="3DA9528A" w14:textId="77777777" w:rsidR="00ED06F5" w:rsidRDefault="00ED06F5">
            <w:pPr>
              <w:rPr>
                <w:b/>
                <w:sz w:val="22"/>
                <w:szCs w:val="22"/>
              </w:rPr>
            </w:pPr>
          </w:p>
          <w:p w14:paraId="23D049A8" w14:textId="77777777" w:rsidR="00ED06F5" w:rsidRDefault="002B5FE9">
            <w:pPr>
              <w:rPr>
                <w:b/>
                <w:color w:val="002060"/>
                <w:sz w:val="22"/>
                <w:szCs w:val="22"/>
              </w:rPr>
            </w:pPr>
            <w:r>
              <w:rPr>
                <w:b/>
                <w:color w:val="002060"/>
                <w:sz w:val="22"/>
                <w:szCs w:val="22"/>
              </w:rPr>
              <w:t>Nathan Lael Joseph</w:t>
            </w:r>
          </w:p>
          <w:p w14:paraId="08A67D7D" w14:textId="77777777" w:rsidR="00ED06F5" w:rsidRDefault="002B5FE9">
            <w:pPr>
              <w:rPr>
                <w:b/>
                <w:color w:val="002060"/>
                <w:sz w:val="22"/>
                <w:szCs w:val="22"/>
              </w:rPr>
            </w:pPr>
            <w:r>
              <w:rPr>
                <w:sz w:val="22"/>
                <w:szCs w:val="22"/>
              </w:rPr>
              <w:t>Professor of Accounting and Finance, Centre for Financial and Corporate Integrity, Coventry University, UK</w:t>
            </w:r>
          </w:p>
          <w:p w14:paraId="7628D483" w14:textId="77777777" w:rsidR="00ED06F5" w:rsidRDefault="00ED06F5">
            <w:pPr>
              <w:rPr>
                <w:b/>
                <w:sz w:val="22"/>
                <w:szCs w:val="22"/>
              </w:rPr>
            </w:pPr>
          </w:p>
        </w:tc>
        <w:tc>
          <w:tcPr>
            <w:tcW w:w="3721" w:type="dxa"/>
            <w:vAlign w:val="center"/>
          </w:tcPr>
          <w:p w14:paraId="176D96F6" w14:textId="77777777" w:rsidR="00ED06F5" w:rsidRDefault="002B5F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Do’s and Don’ts when undertaking Accounting and Finance Research: An Editorial perspective.</w:t>
            </w:r>
          </w:p>
        </w:tc>
      </w:tr>
      <w:tr w:rsidR="00ED06F5" w14:paraId="0E7BAD0E" w14:textId="77777777">
        <w:trPr>
          <w:trHeight w:val="1475"/>
        </w:trPr>
        <w:tc>
          <w:tcPr>
            <w:tcW w:w="1242" w:type="dxa"/>
            <w:vAlign w:val="center"/>
          </w:tcPr>
          <w:p w14:paraId="0D5491C9" w14:textId="77777777" w:rsidR="00ED06F5" w:rsidRDefault="002B5F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3.15 - 3.55</w:t>
            </w:r>
          </w:p>
        </w:tc>
        <w:tc>
          <w:tcPr>
            <w:tcW w:w="3598" w:type="dxa"/>
            <w:vAlign w:val="center"/>
          </w:tcPr>
          <w:p w14:paraId="00697250" w14:textId="77777777" w:rsidR="00ED06F5" w:rsidRDefault="002B5FE9">
            <w:pPr>
              <w:rPr>
                <w:b/>
                <w:color w:val="002060"/>
                <w:sz w:val="22"/>
                <w:szCs w:val="22"/>
              </w:rPr>
            </w:pPr>
            <w:r>
              <w:rPr>
                <w:b/>
                <w:color w:val="002060"/>
                <w:sz w:val="22"/>
                <w:szCs w:val="22"/>
              </w:rPr>
              <w:t>Charles H. Cho</w:t>
            </w:r>
          </w:p>
          <w:p w14:paraId="68531391" w14:textId="77777777" w:rsidR="00ED06F5" w:rsidRDefault="002B5F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Professor of Accounting and Erivan K. Haub Chair in Business &amp; Sustainability, Schulich School of Business, York University, Canada</w:t>
            </w:r>
          </w:p>
        </w:tc>
        <w:tc>
          <w:tcPr>
            <w:tcW w:w="3721" w:type="dxa"/>
            <w:vAlign w:val="center"/>
          </w:tcPr>
          <w:p w14:paraId="56229DD5" w14:textId="77777777" w:rsidR="00ED06F5" w:rsidRDefault="00ED06F5">
            <w:pPr>
              <w:rPr>
                <w:sz w:val="22"/>
                <w:szCs w:val="22"/>
              </w:rPr>
            </w:pPr>
          </w:p>
          <w:p w14:paraId="090DDBC9" w14:textId="77777777" w:rsidR="00ED06F5" w:rsidRDefault="002B5F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Hijacking ‘Sustainability’: The Case of the IFRS Foundation. </w:t>
            </w:r>
          </w:p>
          <w:p w14:paraId="73B5549B" w14:textId="77777777" w:rsidR="00ED06F5" w:rsidRDefault="00ED06F5">
            <w:pPr>
              <w:rPr>
                <w:sz w:val="22"/>
                <w:szCs w:val="22"/>
              </w:rPr>
            </w:pPr>
          </w:p>
        </w:tc>
      </w:tr>
      <w:tr w:rsidR="00ED06F5" w14:paraId="1B465861" w14:textId="77777777">
        <w:trPr>
          <w:trHeight w:val="952"/>
        </w:trPr>
        <w:tc>
          <w:tcPr>
            <w:tcW w:w="1242" w:type="dxa"/>
            <w:tcBorders>
              <w:bottom w:val="single" w:sz="4" w:space="0" w:color="000000"/>
            </w:tcBorders>
            <w:vAlign w:val="center"/>
          </w:tcPr>
          <w:p w14:paraId="39AAB78C" w14:textId="77777777" w:rsidR="00ED06F5" w:rsidRDefault="002B5F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4.00 - 4.40</w:t>
            </w:r>
          </w:p>
        </w:tc>
        <w:tc>
          <w:tcPr>
            <w:tcW w:w="3598" w:type="dxa"/>
            <w:tcBorders>
              <w:bottom w:val="single" w:sz="4" w:space="0" w:color="000000"/>
            </w:tcBorders>
            <w:vAlign w:val="center"/>
          </w:tcPr>
          <w:p w14:paraId="655037F2" w14:textId="77777777" w:rsidR="00ED06F5" w:rsidRDefault="002B5FE9">
            <w:pPr>
              <w:rPr>
                <w:b/>
                <w:color w:val="002060"/>
                <w:sz w:val="22"/>
                <w:szCs w:val="22"/>
              </w:rPr>
            </w:pPr>
            <w:r>
              <w:rPr>
                <w:b/>
                <w:color w:val="002060"/>
                <w:sz w:val="22"/>
                <w:szCs w:val="22"/>
              </w:rPr>
              <w:t xml:space="preserve">Mary E. Barth </w:t>
            </w:r>
          </w:p>
          <w:p w14:paraId="517F20B2" w14:textId="77777777" w:rsidR="00ED06F5" w:rsidRDefault="002B5F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Joan E. Horngren Professor of Accounting, Emerita, Graduate School of Business, Stanford University, USA</w:t>
            </w:r>
          </w:p>
          <w:p w14:paraId="15162814" w14:textId="77777777" w:rsidR="00ED06F5" w:rsidRDefault="00ED06F5">
            <w:pPr>
              <w:rPr>
                <w:b/>
                <w:sz w:val="22"/>
                <w:szCs w:val="22"/>
              </w:rPr>
            </w:pPr>
          </w:p>
        </w:tc>
        <w:tc>
          <w:tcPr>
            <w:tcW w:w="3721" w:type="dxa"/>
            <w:tcBorders>
              <w:bottom w:val="single" w:sz="4" w:space="0" w:color="000000"/>
            </w:tcBorders>
            <w:vAlign w:val="center"/>
          </w:tcPr>
          <w:p w14:paraId="0E0C51D3" w14:textId="77777777" w:rsidR="00ED06F5" w:rsidRDefault="002B5FE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The Future of Financial Reporting: Insights from Research.</w:t>
            </w:r>
          </w:p>
          <w:p w14:paraId="09ABB4DE" w14:textId="77777777" w:rsidR="00ED06F5" w:rsidRDefault="00ED06F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</w:tr>
      <w:tr w:rsidR="00ED06F5" w14:paraId="1FFE5E2A" w14:textId="77777777">
        <w:trPr>
          <w:trHeight w:val="199"/>
        </w:trPr>
        <w:tc>
          <w:tcPr>
            <w:tcW w:w="1242" w:type="dxa"/>
            <w:tcBorders>
              <w:bottom w:val="single" w:sz="4" w:space="0" w:color="000000"/>
            </w:tcBorders>
            <w:vAlign w:val="center"/>
          </w:tcPr>
          <w:p w14:paraId="74B94FC3" w14:textId="77777777" w:rsidR="00ED06F5" w:rsidRDefault="002B5F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4.40 – 4.50</w:t>
            </w:r>
          </w:p>
        </w:tc>
        <w:tc>
          <w:tcPr>
            <w:tcW w:w="7319" w:type="dxa"/>
            <w:gridSpan w:val="2"/>
            <w:tcBorders>
              <w:bottom w:val="single" w:sz="4" w:space="0" w:color="000000"/>
            </w:tcBorders>
            <w:vAlign w:val="center"/>
          </w:tcPr>
          <w:p w14:paraId="0435D378" w14:textId="77777777" w:rsidR="00ED06F5" w:rsidRDefault="002B5FE9">
            <w:pPr>
              <w:shd w:val="clear" w:color="auto" w:fill="FFFFFF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Break</w:t>
            </w:r>
          </w:p>
        </w:tc>
      </w:tr>
      <w:tr w:rsidR="00ED06F5" w14:paraId="5AB78D1D" w14:textId="77777777">
        <w:trPr>
          <w:trHeight w:val="748"/>
        </w:trPr>
        <w:tc>
          <w:tcPr>
            <w:tcW w:w="1242" w:type="dxa"/>
            <w:tcBorders>
              <w:bottom w:val="single" w:sz="4" w:space="0" w:color="000000"/>
            </w:tcBorders>
            <w:vAlign w:val="center"/>
          </w:tcPr>
          <w:p w14:paraId="7C6F343E" w14:textId="77777777" w:rsidR="00ED06F5" w:rsidRDefault="002B5F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4.50 - 5.45</w:t>
            </w:r>
          </w:p>
        </w:tc>
        <w:tc>
          <w:tcPr>
            <w:tcW w:w="7319" w:type="dxa"/>
            <w:gridSpan w:val="2"/>
            <w:tcBorders>
              <w:bottom w:val="single" w:sz="4" w:space="0" w:color="000000"/>
            </w:tcBorders>
            <w:vAlign w:val="center"/>
          </w:tcPr>
          <w:p w14:paraId="51341733" w14:textId="77777777" w:rsidR="00ED06F5" w:rsidRDefault="002B5F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FARSIG doctoral bursary presentations </w:t>
            </w:r>
          </w:p>
          <w:p w14:paraId="566ACFED" w14:textId="77777777" w:rsidR="00ED06F5" w:rsidRDefault="00ED06F5">
            <w:pPr>
              <w:rPr>
                <w:b/>
                <w:sz w:val="22"/>
                <w:szCs w:val="22"/>
              </w:rPr>
            </w:pPr>
          </w:p>
        </w:tc>
      </w:tr>
    </w:tbl>
    <w:p w14:paraId="4EAD7F74" w14:textId="77777777" w:rsidR="00ED06F5" w:rsidRDefault="002B5FE9">
      <w:pPr>
        <w:spacing w:line="259" w:lineRule="auto"/>
        <w:ind w:left="10" w:right="479" w:hanging="10"/>
        <w:rPr>
          <w:b/>
        </w:rPr>
      </w:pPr>
      <w:r>
        <w:rPr>
          <w:b/>
        </w:rPr>
        <w:t>Registration for the FRBC event</w:t>
      </w:r>
    </w:p>
    <w:p w14:paraId="70FF70E3" w14:textId="77777777" w:rsidR="00ED06F5" w:rsidRDefault="002B5FE9">
      <w:pPr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  <w:highlight w:val="white"/>
        </w:rPr>
        <w:t>There is no charge for attending the FRBC event, but attendees must </w:t>
      </w:r>
      <w:r>
        <w:rPr>
          <w:b/>
          <w:color w:val="000000"/>
          <w:sz w:val="22"/>
          <w:szCs w:val="22"/>
          <w:highlight w:val="white"/>
        </w:rPr>
        <w:t>book a place by 21 June 2021</w:t>
      </w:r>
      <w:r>
        <w:rPr>
          <w:color w:val="000000"/>
          <w:sz w:val="22"/>
          <w:szCs w:val="22"/>
          <w:highlight w:val="white"/>
        </w:rPr>
        <w:t>.  </w:t>
      </w:r>
    </w:p>
    <w:p w14:paraId="129A95F3" w14:textId="77777777" w:rsidR="00ED06F5" w:rsidRDefault="002B5FE9">
      <w:pPr>
        <w:pBdr>
          <w:top w:val="nil"/>
          <w:left w:val="nil"/>
          <w:bottom w:val="nil"/>
          <w:right w:val="nil"/>
          <w:between w:val="nil"/>
        </w:pBdr>
        <w:spacing w:after="300"/>
        <w:rPr>
          <w:rFonts w:ascii="Gill Sans" w:eastAsia="Gill Sans" w:hAnsi="Gill Sans" w:cs="Gill Sans"/>
          <w:color w:val="325A78"/>
          <w:sz w:val="22"/>
          <w:szCs w:val="22"/>
        </w:rPr>
      </w:pPr>
      <w:hyperlink r:id="rId8">
        <w:r>
          <w:rPr>
            <w:rFonts w:ascii="Gill Sans" w:eastAsia="Gill Sans" w:hAnsi="Gill Sans" w:cs="Gill Sans"/>
            <w:i/>
            <w:color w:val="0000FF"/>
            <w:sz w:val="22"/>
            <w:szCs w:val="22"/>
            <w:u w:val="single"/>
          </w:rPr>
          <w:t>Registration is via the Purchase Tickets link in your BAFA account.</w:t>
        </w:r>
      </w:hyperlink>
    </w:p>
    <w:p w14:paraId="4F774AE4" w14:textId="77777777" w:rsidR="00ED06F5" w:rsidRDefault="002B5FE9">
      <w:pPr>
        <w:jc w:val="both"/>
        <w:rPr>
          <w:sz w:val="22"/>
          <w:szCs w:val="22"/>
        </w:rPr>
      </w:pPr>
      <w:r>
        <w:rPr>
          <w:sz w:val="22"/>
          <w:szCs w:val="22"/>
        </w:rPr>
        <w:t>If you have any questions about this event, please contact Professor Mike Jones, Chair FARSIG, Emeritus Professor, School of Accounting and Fin</w:t>
      </w:r>
      <w:r>
        <w:rPr>
          <w:sz w:val="22"/>
          <w:szCs w:val="22"/>
        </w:rPr>
        <w:t>ance, University of Bristol (</w:t>
      </w:r>
      <w:hyperlink r:id="rId9">
        <w:r>
          <w:rPr>
            <w:color w:val="0000FF"/>
            <w:sz w:val="22"/>
            <w:szCs w:val="22"/>
            <w:u w:val="single"/>
          </w:rPr>
          <w:t>Michaeljohn.Jones@bristol.ac.uk</w:t>
        </w:r>
      </w:hyperlink>
      <w:r>
        <w:rPr>
          <w:sz w:val="22"/>
          <w:szCs w:val="22"/>
        </w:rPr>
        <w:t>) or Professor Richard Slack, University of Durham (</w:t>
      </w:r>
      <w:hyperlink r:id="rId10">
        <w:r>
          <w:rPr>
            <w:color w:val="0000FF"/>
            <w:sz w:val="22"/>
            <w:szCs w:val="22"/>
            <w:u w:val="single"/>
          </w:rPr>
          <w:t>richard.slack@durham.ac.uk</w:t>
        </w:r>
      </w:hyperlink>
      <w:r>
        <w:rPr>
          <w:sz w:val="22"/>
          <w:szCs w:val="22"/>
        </w:rPr>
        <w:t>) and f</w:t>
      </w:r>
      <w:r>
        <w:rPr>
          <w:sz w:val="22"/>
          <w:szCs w:val="22"/>
        </w:rPr>
        <w:t>or the bursary presentations, Dr. Ahmed Aboud, Reader at University of Portsmouth</w:t>
      </w:r>
      <w:r>
        <w:rPr>
          <w:rFonts w:ascii="Calibri" w:eastAsia="Calibri" w:hAnsi="Calibri" w:cs="Calibri"/>
          <w:color w:val="000000"/>
          <w:highlight w:val="white"/>
        </w:rPr>
        <w:t xml:space="preserve"> (</w:t>
      </w:r>
      <w:hyperlink r:id="rId11">
        <w:r>
          <w:rPr>
            <w:color w:val="0000FF"/>
            <w:sz w:val="22"/>
            <w:szCs w:val="22"/>
            <w:u w:val="single"/>
          </w:rPr>
          <w:t>ahmed.aboud@port.ac.uk</w:t>
        </w:r>
      </w:hyperlink>
      <w:r>
        <w:rPr>
          <w:color w:val="0000FF"/>
          <w:sz w:val="22"/>
          <w:szCs w:val="22"/>
          <w:u w:val="single"/>
        </w:rPr>
        <w:t>).</w:t>
      </w:r>
    </w:p>
    <w:sectPr w:rsidR="00ED06F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6A980" w14:textId="77777777" w:rsidR="002B5FE9" w:rsidRDefault="002B5FE9">
      <w:r>
        <w:separator/>
      </w:r>
    </w:p>
  </w:endnote>
  <w:endnote w:type="continuationSeparator" w:id="0">
    <w:p w14:paraId="641061DC" w14:textId="77777777" w:rsidR="002B5FE9" w:rsidRDefault="002B5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">
    <w:altName w:val="Gill Sans"/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5A0B2" w14:textId="77777777" w:rsidR="00ED06F5" w:rsidRDefault="00ED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613330" w14:textId="77777777" w:rsidR="00ED06F5" w:rsidRDefault="00ED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8E5C0" w14:textId="77777777" w:rsidR="00ED06F5" w:rsidRDefault="00ED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28F994" w14:textId="77777777" w:rsidR="002B5FE9" w:rsidRDefault="002B5FE9">
      <w:r>
        <w:separator/>
      </w:r>
    </w:p>
  </w:footnote>
  <w:footnote w:type="continuationSeparator" w:id="0">
    <w:p w14:paraId="2666BDCD" w14:textId="77777777" w:rsidR="002B5FE9" w:rsidRDefault="002B5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8C8CC" w14:textId="77777777" w:rsidR="00ED06F5" w:rsidRDefault="00ED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B4C484" w14:textId="77777777" w:rsidR="00ED06F5" w:rsidRDefault="00ED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CC0410" w14:textId="77777777" w:rsidR="00ED06F5" w:rsidRDefault="00ED06F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6F5"/>
    <w:rsid w:val="002B5FE9"/>
    <w:rsid w:val="004629CC"/>
    <w:rsid w:val="00ED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336F83"/>
  <w15:docId w15:val="{03AC91F5-AFF5-D948-9D8E-E0096B49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00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A82B3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C25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1D2C7C"/>
    <w:pPr>
      <w:spacing w:before="100" w:beforeAutospacing="1" w:after="100" w:afterAutospacing="1"/>
    </w:pPr>
  </w:style>
  <w:style w:type="character" w:styleId="Hyperlink">
    <w:name w:val="Hyperlink"/>
    <w:uiPriority w:val="99"/>
    <w:rsid w:val="00C00530"/>
    <w:rPr>
      <w:color w:val="0000FF"/>
      <w:u w:val="single"/>
    </w:rPr>
  </w:style>
  <w:style w:type="paragraph" w:customStyle="1" w:styleId="Default">
    <w:name w:val="Default"/>
    <w:rsid w:val="00736294"/>
    <w:pPr>
      <w:autoSpaceDE w:val="0"/>
      <w:autoSpaceDN w:val="0"/>
      <w:adjustRightInd w:val="0"/>
    </w:pPr>
    <w:rPr>
      <w:color w:val="000000"/>
    </w:rPr>
  </w:style>
  <w:style w:type="character" w:customStyle="1" w:styleId="UnresolvedMention1">
    <w:name w:val="Unresolved Mention1"/>
    <w:uiPriority w:val="99"/>
    <w:semiHidden/>
    <w:unhideWhenUsed/>
    <w:rsid w:val="000A4F6C"/>
    <w:rPr>
      <w:color w:val="605E5C"/>
      <w:shd w:val="clear" w:color="auto" w:fill="E1DFDD"/>
    </w:rPr>
  </w:style>
  <w:style w:type="character" w:styleId="FollowedHyperlink">
    <w:name w:val="FollowedHyperlink"/>
    <w:rsid w:val="005F7565"/>
    <w:rPr>
      <w:color w:val="954F72"/>
      <w:u w:val="single"/>
    </w:rPr>
  </w:style>
  <w:style w:type="paragraph" w:styleId="BalloonText">
    <w:name w:val="Balloon Text"/>
    <w:basedOn w:val="Normal"/>
    <w:link w:val="BalloonTextChar"/>
    <w:rsid w:val="009C42EB"/>
    <w:rPr>
      <w:sz w:val="18"/>
      <w:szCs w:val="18"/>
    </w:rPr>
  </w:style>
  <w:style w:type="character" w:customStyle="1" w:styleId="BalloonTextChar">
    <w:name w:val="Balloon Text Char"/>
    <w:link w:val="BalloonText"/>
    <w:rsid w:val="009C42EB"/>
    <w:rPr>
      <w:sz w:val="18"/>
      <w:szCs w:val="18"/>
    </w:rPr>
  </w:style>
  <w:style w:type="character" w:styleId="CommentReference">
    <w:name w:val="annotation reference"/>
    <w:rsid w:val="008B43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43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B43A8"/>
  </w:style>
  <w:style w:type="paragraph" w:styleId="CommentSubject">
    <w:name w:val="annotation subject"/>
    <w:basedOn w:val="CommentText"/>
    <w:next w:val="CommentText"/>
    <w:link w:val="CommentSubjectChar"/>
    <w:rsid w:val="008B43A8"/>
    <w:rPr>
      <w:b/>
      <w:bCs/>
    </w:rPr>
  </w:style>
  <w:style w:type="character" w:customStyle="1" w:styleId="CommentSubjectChar">
    <w:name w:val="Comment Subject Char"/>
    <w:link w:val="CommentSubject"/>
    <w:rsid w:val="008B43A8"/>
    <w:rPr>
      <w:b/>
      <w:bCs/>
    </w:rPr>
  </w:style>
  <w:style w:type="paragraph" w:customStyle="1" w:styleId="paragraph">
    <w:name w:val="paragraph"/>
    <w:basedOn w:val="Normal"/>
    <w:rsid w:val="00646F19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646F19"/>
  </w:style>
  <w:style w:type="character" w:customStyle="1" w:styleId="eop">
    <w:name w:val="eop"/>
    <w:basedOn w:val="DefaultParagraphFont"/>
    <w:rsid w:val="00646F19"/>
  </w:style>
  <w:style w:type="character" w:customStyle="1" w:styleId="Heading3Char">
    <w:name w:val="Heading 3 Char"/>
    <w:link w:val="Heading3"/>
    <w:uiPriority w:val="9"/>
    <w:rsid w:val="00A82B3F"/>
    <w:rPr>
      <w:b/>
      <w:bCs/>
      <w:sz w:val="27"/>
      <w:szCs w:val="27"/>
    </w:rPr>
  </w:style>
  <w:style w:type="character" w:styleId="Strong">
    <w:name w:val="Strong"/>
    <w:uiPriority w:val="22"/>
    <w:qFormat/>
    <w:rsid w:val="00A82B3F"/>
    <w:rPr>
      <w:b/>
      <w:bCs/>
    </w:rPr>
  </w:style>
  <w:style w:type="paragraph" w:styleId="Header">
    <w:name w:val="header"/>
    <w:basedOn w:val="Normal"/>
    <w:link w:val="HeaderChar"/>
    <w:rsid w:val="003A1F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A1F7D"/>
    <w:rPr>
      <w:sz w:val="24"/>
      <w:szCs w:val="24"/>
      <w:lang w:eastAsia="en-GB"/>
    </w:rPr>
  </w:style>
  <w:style w:type="paragraph" w:styleId="Footer">
    <w:name w:val="footer"/>
    <w:basedOn w:val="Normal"/>
    <w:link w:val="FooterChar"/>
    <w:rsid w:val="003A1F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A1F7D"/>
    <w:rPr>
      <w:sz w:val="24"/>
      <w:szCs w:val="24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bers.bafa.ac.uk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hmed.aboud@port.ac.u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richard.slack@durham.ac.u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Michaeljohn.Jones@bristol.ac.u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2SpgwkJSphnthMmdRY4+SO2FzA==">AMUW2mWmdlZxLVjKI2NBMl2/S+c+pCxtsG5jRs6nvqn+1TPeJs757b1/dKtz3aAtXaLcGf9NfRJ2mY20U8t2dNNuv/NE/uJnzUlHis7dhNLD19yCUUktoGw=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Sbsjfs</dc:creator>
  <cp:lastModifiedBy>Tracy Shorrock</cp:lastModifiedBy>
  <cp:revision>2</cp:revision>
  <dcterms:created xsi:type="dcterms:W3CDTF">2021-03-19T17:51:00Z</dcterms:created>
  <dcterms:modified xsi:type="dcterms:W3CDTF">2021-06-10T18:02:00Z</dcterms:modified>
</cp:coreProperties>
</file>